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36F" w:rsidRPr="0046496F" w:rsidRDefault="0046496F" w:rsidP="007816C6">
      <w:pPr>
        <w:jc w:val="center"/>
        <w:rPr>
          <w:rFonts w:ascii="標楷體" w:eastAsia="標楷體" w:hAnsi="標楷體"/>
        </w:rPr>
      </w:pPr>
      <w:r w:rsidRPr="0046496F">
        <w:rPr>
          <w:rFonts w:ascii="標楷體" w:eastAsia="標楷體" w:hAnsi="標楷體" w:hint="eastAsia"/>
          <w:sz w:val="28"/>
        </w:rPr>
        <w:t>新北市立樟樹國際實創高級中等學校學生適性轉科實施要點</w:t>
      </w:r>
    </w:p>
    <w:p w:rsidR="0046496F" w:rsidRDefault="0046496F" w:rsidP="00193568">
      <w:pPr>
        <w:wordWrap w:val="0"/>
        <w:jc w:val="right"/>
        <w:rPr>
          <w:rFonts w:ascii="標楷體" w:eastAsia="標楷體" w:hAnsi="標楷體"/>
        </w:rPr>
      </w:pPr>
      <w:r w:rsidRPr="0046496F">
        <w:rPr>
          <w:rFonts w:ascii="標楷體" w:eastAsia="標楷體" w:hAnsi="標楷體" w:hint="eastAsia"/>
        </w:rPr>
        <w:t>108年</w:t>
      </w:r>
      <w:r w:rsidR="00F977A0">
        <w:rPr>
          <w:rFonts w:ascii="標楷體" w:eastAsia="標楷體" w:hAnsi="標楷體"/>
        </w:rPr>
        <w:t>1</w:t>
      </w:r>
      <w:r w:rsidRPr="0046496F">
        <w:rPr>
          <w:rFonts w:ascii="標楷體" w:eastAsia="標楷體" w:hAnsi="標楷體" w:hint="eastAsia"/>
        </w:rPr>
        <w:t>月</w:t>
      </w:r>
      <w:r w:rsidR="00F977A0">
        <w:rPr>
          <w:rFonts w:ascii="標楷體" w:eastAsia="標楷體" w:hAnsi="標楷體"/>
        </w:rPr>
        <w:t>17</w:t>
      </w:r>
      <w:r w:rsidRPr="0046496F">
        <w:rPr>
          <w:rFonts w:ascii="標楷體" w:eastAsia="標楷體" w:hAnsi="標楷體" w:hint="eastAsia"/>
        </w:rPr>
        <w:t>日</w:t>
      </w:r>
      <w:r w:rsidR="00193568">
        <w:rPr>
          <w:rFonts w:ascii="標楷體" w:eastAsia="標楷體" w:hAnsi="標楷體" w:hint="eastAsia"/>
        </w:rPr>
        <w:t>校務會議通過</w:t>
      </w:r>
    </w:p>
    <w:p w:rsidR="0046496F" w:rsidRPr="007C2D2F" w:rsidRDefault="00583A1B" w:rsidP="007816C6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</w:t>
      </w:r>
      <w:r w:rsidR="0046496F" w:rsidRPr="007C2D2F">
        <w:rPr>
          <w:rFonts w:ascii="標楷體" w:eastAsia="標楷體" w:hAnsi="標楷體" w:hint="eastAsia"/>
        </w:rPr>
        <w:t>高級中等學校學籍管理辦法第13條及102年7月16日北教中字第</w:t>
      </w:r>
      <w:r w:rsidR="007C2D2F" w:rsidRPr="007C2D2F">
        <w:rPr>
          <w:rFonts w:ascii="標楷體" w:eastAsia="標楷體" w:hAnsi="標楷體" w:hint="eastAsia"/>
        </w:rPr>
        <w:t>1022179579號令</w:t>
      </w:r>
      <w:r w:rsidR="0046496F" w:rsidRPr="007C2D2F">
        <w:rPr>
          <w:rFonts w:ascii="標楷體" w:eastAsia="標楷體" w:hAnsi="標楷體" w:hint="eastAsia"/>
        </w:rPr>
        <w:t>新北市</w:t>
      </w:r>
      <w:r w:rsidR="007C2D2F" w:rsidRPr="007C2D2F">
        <w:rPr>
          <w:rFonts w:ascii="標楷體" w:eastAsia="標楷體" w:hAnsi="標楷體" w:hint="eastAsia"/>
        </w:rPr>
        <w:t>政府教育局高級中等學校學生學籍管理要點第八條訂定本要點。</w:t>
      </w:r>
    </w:p>
    <w:p w:rsidR="007C2D2F" w:rsidRDefault="007C2D2F" w:rsidP="007816C6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目的：為使學生掌握學習性向，符合志趣，適性發展，培養專業技能，提高學習成效，特訂「新北市立樟樹國際實創高級中等學校學生適性轉科實施要點」(以下簡稱本要點)。</w:t>
      </w:r>
    </w:p>
    <w:p w:rsidR="007C2D2F" w:rsidRDefault="007C2D2F" w:rsidP="007816C6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對象：本要點適用於本校高中部一年級學生。</w:t>
      </w:r>
    </w:p>
    <w:p w:rsidR="007C2D2F" w:rsidRDefault="007C2D2F" w:rsidP="007816C6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名額：各專業群科招收轉科學生之名額，不得超過新北市政府教育局核定</w:t>
      </w:r>
      <w:r w:rsidR="001E52D0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新生名額為限</w:t>
      </w:r>
      <w:r w:rsidR="001E52D0">
        <w:rPr>
          <w:rFonts w:ascii="標楷體" w:eastAsia="標楷體" w:hAnsi="標楷體" w:hint="eastAsia"/>
        </w:rPr>
        <w:t>。教務處於每學年第一學期末公布各專業群科缺額，以供申請轉科之學生參考；若無名額時，該專業群科將不辦理轉科考試。</w:t>
      </w:r>
    </w:p>
    <w:p w:rsidR="001E52D0" w:rsidRDefault="001E52D0" w:rsidP="007816C6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申請資格：申請適性轉科時，應符合下列資格，始得申請適性轉科。</w:t>
      </w:r>
    </w:p>
    <w:p w:rsidR="001E52D0" w:rsidRDefault="001E52D0" w:rsidP="007816C6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經家長、導師及輔導教師共同認定有明確學習性向者。</w:t>
      </w:r>
    </w:p>
    <w:p w:rsidR="001E52D0" w:rsidRDefault="001E52D0" w:rsidP="007816C6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一年</w:t>
      </w:r>
      <w:r w:rsidR="00F8138D">
        <w:rPr>
          <w:rFonts w:ascii="標楷體" w:eastAsia="標楷體" w:hAnsi="標楷體" w:hint="eastAsia"/>
        </w:rPr>
        <w:t>級</w:t>
      </w:r>
      <w:r>
        <w:rPr>
          <w:rFonts w:ascii="標楷體" w:eastAsia="標楷體" w:hAnsi="標楷體" w:hint="eastAsia"/>
        </w:rPr>
        <w:t>第一學期學業成績</w:t>
      </w:r>
      <w:r w:rsidR="000938A4">
        <w:rPr>
          <w:rFonts w:ascii="標楷體" w:eastAsia="標楷體" w:hAnsi="標楷體" w:hint="eastAsia"/>
        </w:rPr>
        <w:t>平均60分(含)以上</w:t>
      </w:r>
      <w:r>
        <w:rPr>
          <w:rFonts w:ascii="標楷體" w:eastAsia="標楷體" w:hAnsi="標楷體" w:hint="eastAsia"/>
        </w:rPr>
        <w:t>。</w:t>
      </w:r>
    </w:p>
    <w:p w:rsidR="001E52D0" w:rsidRDefault="001E52D0" w:rsidP="007816C6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獎懲紀錄不得超過小過一次</w:t>
      </w:r>
      <w:r w:rsidR="000938A4">
        <w:rPr>
          <w:rFonts w:ascii="標楷體" w:eastAsia="標楷體" w:hAnsi="標楷體" w:hint="eastAsia"/>
        </w:rPr>
        <w:t>(含)或累積警告三次。</w:t>
      </w:r>
    </w:p>
    <w:p w:rsidR="000938A4" w:rsidRPr="000938A4" w:rsidRDefault="000938A4" w:rsidP="007816C6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0938A4">
        <w:rPr>
          <w:rFonts w:ascii="標楷體" w:eastAsia="標楷體" w:hAnsi="標楷體" w:hint="eastAsia"/>
        </w:rPr>
        <w:t>申請方式：申請適性轉科時，應填具適性轉科申請書</w:t>
      </w:r>
      <w:r w:rsidR="007816C6">
        <w:rPr>
          <w:rFonts w:ascii="標楷體" w:eastAsia="標楷體" w:hAnsi="標楷體" w:hint="eastAsia"/>
        </w:rPr>
        <w:t>(附件一)</w:t>
      </w:r>
      <w:r w:rsidRPr="000938A4">
        <w:rPr>
          <w:rFonts w:ascii="標楷體" w:eastAsia="標楷體" w:hAnsi="標楷體" w:hint="eastAsia"/>
        </w:rPr>
        <w:t>，並向學校檢附下列文件</w:t>
      </w:r>
    </w:p>
    <w:p w:rsidR="000938A4" w:rsidRDefault="000938A4" w:rsidP="007816C6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經導師及輔導教師簽名之適性輔導紀錄，其內容包括生活、學習及生涯等輔導。</w:t>
      </w:r>
      <w:r w:rsidR="007816C6">
        <w:rPr>
          <w:rFonts w:ascii="標楷體" w:eastAsia="標楷體" w:hAnsi="標楷體" w:hint="eastAsia"/>
        </w:rPr>
        <w:t>(附件二)</w:t>
      </w:r>
    </w:p>
    <w:p w:rsidR="000938A4" w:rsidRDefault="000938A4" w:rsidP="007816C6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家長同意書。</w:t>
      </w:r>
      <w:r w:rsidR="007816C6">
        <w:rPr>
          <w:rFonts w:ascii="標楷體" w:eastAsia="標楷體" w:hAnsi="標楷體" w:hint="eastAsia"/>
        </w:rPr>
        <w:t>(附件三)</w:t>
      </w:r>
    </w:p>
    <w:p w:rsidR="000938A4" w:rsidRDefault="000938A4" w:rsidP="007816C6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一年級第一學期成績單</w:t>
      </w:r>
      <w:r w:rsidR="00C73CD4">
        <w:rPr>
          <w:rFonts w:ascii="標楷體" w:eastAsia="標楷體" w:hAnsi="標楷體" w:hint="eastAsia"/>
        </w:rPr>
        <w:t>(含獎懲紀錄)</w:t>
      </w:r>
    </w:p>
    <w:p w:rsidR="000938A4" w:rsidRPr="000938A4" w:rsidRDefault="000938A4" w:rsidP="007816C6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0938A4">
        <w:rPr>
          <w:rFonts w:ascii="標楷體" w:eastAsia="標楷體" w:hAnsi="標楷體" w:hint="eastAsia"/>
        </w:rPr>
        <w:t>審查</w:t>
      </w:r>
      <w:r w:rsidR="000F3A54">
        <w:rPr>
          <w:rFonts w:ascii="標楷體" w:eastAsia="標楷體" w:hAnsi="標楷體" w:hint="eastAsia"/>
        </w:rPr>
        <w:t>及考試</w:t>
      </w:r>
      <w:r w:rsidRPr="000938A4">
        <w:rPr>
          <w:rFonts w:ascii="標楷體" w:eastAsia="標楷體" w:hAnsi="標楷體" w:hint="eastAsia"/>
        </w:rPr>
        <w:t>方式：</w:t>
      </w:r>
    </w:p>
    <w:p w:rsidR="000938A4" w:rsidRDefault="000F3A54" w:rsidP="007816C6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審查方式：</w:t>
      </w:r>
    </w:p>
    <w:p w:rsidR="000F3A54" w:rsidRDefault="000F3A54" w:rsidP="007816C6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成立適性轉科工作小組(以下簡稱工作小組)，審定適性轉科相關事宜。工作成員由校長(召集人)、教務主任、實習主任、輔導主任、實驗研究組長、註冊組長、高一級導師、專業群科科主任(多媒、流服、資訊)、各科召集人(國、英、數、藝能)及家長會長。</w:t>
      </w:r>
    </w:p>
    <w:p w:rsidR="000F3A54" w:rsidRDefault="000F3A54" w:rsidP="007816C6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經工作小組審查轉科資格後，始可辦理轉科考試。</w:t>
      </w:r>
    </w:p>
    <w:p w:rsidR="000F3A54" w:rsidRDefault="000F3A54" w:rsidP="007816C6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</w:rPr>
      </w:pPr>
      <w:r w:rsidRPr="000F3A54">
        <w:rPr>
          <w:rFonts w:ascii="標楷體" w:eastAsia="標楷體" w:hAnsi="標楷體" w:hint="eastAsia"/>
        </w:rPr>
        <w:t>考試方式：</w:t>
      </w:r>
      <w:r>
        <w:rPr>
          <w:rFonts w:ascii="標楷體" w:eastAsia="標楷體" w:hAnsi="標楷體" w:hint="eastAsia"/>
        </w:rPr>
        <w:t>.</w:t>
      </w:r>
    </w:p>
    <w:p w:rsidR="000F3A54" w:rsidRDefault="000F3A54" w:rsidP="007816C6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考試時間於學年度寒假期間辦理，詳細考試日程另行公告之。</w:t>
      </w:r>
    </w:p>
    <w:p w:rsidR="007816C6" w:rsidRDefault="007816C6" w:rsidP="007816C6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考試項目分為術科考試及口試兩項。</w:t>
      </w:r>
    </w:p>
    <w:p w:rsidR="000F3A54" w:rsidRDefault="007816C6" w:rsidP="007816C6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術科</w:t>
      </w:r>
      <w:r w:rsidR="000F3A54">
        <w:rPr>
          <w:rFonts w:ascii="標楷體" w:eastAsia="標楷體" w:hAnsi="標楷體" w:hint="eastAsia"/>
        </w:rPr>
        <w:t>考試科目如下表：</w:t>
      </w:r>
    </w:p>
    <w:tbl>
      <w:tblPr>
        <w:tblStyle w:val="a4"/>
        <w:tblW w:w="0" w:type="auto"/>
        <w:tblInd w:w="1320" w:type="dxa"/>
        <w:tblLook w:val="04A0" w:firstRow="1" w:lastRow="0" w:firstColumn="1" w:lastColumn="0" w:noHBand="0" w:noVBand="1"/>
      </w:tblPr>
      <w:tblGrid>
        <w:gridCol w:w="1227"/>
        <w:gridCol w:w="2171"/>
        <w:gridCol w:w="2171"/>
        <w:gridCol w:w="2171"/>
      </w:tblGrid>
      <w:tr w:rsidR="000F3A54" w:rsidTr="000F3A54">
        <w:tc>
          <w:tcPr>
            <w:tcW w:w="1227" w:type="dxa"/>
          </w:tcPr>
          <w:p w:rsidR="000F3A54" w:rsidRDefault="000F3A54" w:rsidP="007816C6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科別</w:t>
            </w:r>
          </w:p>
        </w:tc>
        <w:tc>
          <w:tcPr>
            <w:tcW w:w="2171" w:type="dxa"/>
          </w:tcPr>
          <w:p w:rsidR="000F3A54" w:rsidRDefault="000F3A54" w:rsidP="007816C6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多媒體動畫科</w:t>
            </w:r>
          </w:p>
        </w:tc>
        <w:tc>
          <w:tcPr>
            <w:tcW w:w="2171" w:type="dxa"/>
          </w:tcPr>
          <w:p w:rsidR="000F3A54" w:rsidRDefault="000F3A54" w:rsidP="007816C6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流行服飾科</w:t>
            </w:r>
          </w:p>
        </w:tc>
        <w:tc>
          <w:tcPr>
            <w:tcW w:w="2171" w:type="dxa"/>
          </w:tcPr>
          <w:p w:rsidR="000F3A54" w:rsidRDefault="000F3A54" w:rsidP="007816C6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資訊科</w:t>
            </w:r>
          </w:p>
        </w:tc>
      </w:tr>
      <w:tr w:rsidR="000F3A54" w:rsidTr="000F3A54">
        <w:tc>
          <w:tcPr>
            <w:tcW w:w="1227" w:type="dxa"/>
          </w:tcPr>
          <w:p w:rsidR="000F3A54" w:rsidRDefault="000F3A54" w:rsidP="007816C6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考試科目</w:t>
            </w:r>
          </w:p>
        </w:tc>
        <w:tc>
          <w:tcPr>
            <w:tcW w:w="2171" w:type="dxa"/>
          </w:tcPr>
          <w:p w:rsidR="000F3A54" w:rsidRDefault="000F3A54" w:rsidP="007816C6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繪畫基礎</w:t>
            </w:r>
          </w:p>
        </w:tc>
        <w:tc>
          <w:tcPr>
            <w:tcW w:w="2171" w:type="dxa"/>
          </w:tcPr>
          <w:p w:rsidR="000F3A54" w:rsidRDefault="000F3A54" w:rsidP="007816C6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服裝畫</w:t>
            </w:r>
          </w:p>
        </w:tc>
        <w:tc>
          <w:tcPr>
            <w:tcW w:w="2171" w:type="dxa"/>
          </w:tcPr>
          <w:p w:rsidR="000F3A54" w:rsidRDefault="000F3A54" w:rsidP="007816C6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基本電學</w:t>
            </w:r>
          </w:p>
        </w:tc>
      </w:tr>
    </w:tbl>
    <w:p w:rsidR="000F3A54" w:rsidRDefault="007816C6" w:rsidP="007816C6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術科</w:t>
      </w:r>
      <w:r w:rsidR="000F3A54">
        <w:rPr>
          <w:rFonts w:ascii="標楷體" w:eastAsia="標楷體" w:hAnsi="標楷體" w:hint="eastAsia"/>
        </w:rPr>
        <w:t>考試範圍為一年級第一學期欲轉入科別之課程內容。</w:t>
      </w:r>
    </w:p>
    <w:p w:rsidR="007816C6" w:rsidRDefault="007816C6" w:rsidP="007816C6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口試內容為考生之學習動機及相關專業知識。</w:t>
      </w:r>
    </w:p>
    <w:p w:rsidR="000F3A54" w:rsidRPr="007816C6" w:rsidRDefault="000F3A54" w:rsidP="007816C6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</w:rPr>
      </w:pPr>
      <w:r w:rsidRPr="007816C6">
        <w:rPr>
          <w:rFonts w:ascii="標楷體" w:eastAsia="標楷體" w:hAnsi="標楷體" w:hint="eastAsia"/>
        </w:rPr>
        <w:t>適性轉科錄取標準</w:t>
      </w:r>
      <w:r w:rsidR="007816C6" w:rsidRPr="007816C6">
        <w:rPr>
          <w:rFonts w:ascii="標楷體" w:eastAsia="標楷體" w:hAnsi="標楷體" w:hint="eastAsia"/>
        </w:rPr>
        <w:t>：</w:t>
      </w:r>
    </w:p>
    <w:p w:rsidR="007816C6" w:rsidRDefault="007816C6" w:rsidP="007816C6">
      <w:pPr>
        <w:pStyle w:val="a3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總成績=術科考試(佔70%)+口試成績(佔30%)。</w:t>
      </w:r>
    </w:p>
    <w:p w:rsidR="007816C6" w:rsidRDefault="007816C6" w:rsidP="007816C6">
      <w:pPr>
        <w:pStyle w:val="a3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總成績相同時，以術科考試、口試、第一學期學業成績平均排序。</w:t>
      </w:r>
    </w:p>
    <w:p w:rsidR="007816C6" w:rsidRPr="007816C6" w:rsidRDefault="007816C6" w:rsidP="007816C6">
      <w:pPr>
        <w:pStyle w:val="a3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考試科目有缺考、零分或未達及格標準者，則不予錄取。</w:t>
      </w:r>
    </w:p>
    <w:p w:rsidR="007816C6" w:rsidRDefault="007816C6" w:rsidP="007816C6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7816C6">
        <w:rPr>
          <w:rFonts w:ascii="標楷體" w:eastAsia="標楷體" w:hAnsi="標楷體" w:hint="eastAsia"/>
        </w:rPr>
        <w:t>適性轉科學生學分之抵免及補修，依據本校學生重補修實施要點辦理。</w:t>
      </w:r>
    </w:p>
    <w:p w:rsidR="007816C6" w:rsidRDefault="007816C6" w:rsidP="007816C6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凡經核准轉科後，不得以任何理由申請轉回原就讀科別。</w:t>
      </w:r>
    </w:p>
    <w:p w:rsidR="00A03211" w:rsidRPr="00996E76" w:rsidRDefault="00996E76" w:rsidP="00996E7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壹拾、</w:t>
      </w:r>
      <w:r w:rsidR="007816C6" w:rsidRPr="00996E76">
        <w:rPr>
          <w:rFonts w:ascii="標楷體" w:eastAsia="標楷體" w:hAnsi="標楷體" w:hint="eastAsia"/>
        </w:rPr>
        <w:t>本要點經</w:t>
      </w:r>
      <w:r w:rsidR="00A03211" w:rsidRPr="00996E76">
        <w:rPr>
          <w:rFonts w:ascii="標楷體" w:eastAsia="標楷體" w:hAnsi="標楷體" w:hint="eastAsia"/>
        </w:rPr>
        <w:t>校務</w:t>
      </w:r>
      <w:r w:rsidR="007816C6" w:rsidRPr="00996E76">
        <w:rPr>
          <w:rFonts w:ascii="標楷體" w:eastAsia="標楷體" w:hAnsi="標楷體" w:hint="eastAsia"/>
        </w:rPr>
        <w:t>會議決議後公布，修正時亦同。</w:t>
      </w:r>
    </w:p>
    <w:p w:rsidR="007816C6" w:rsidRPr="00A03211" w:rsidRDefault="007816C6" w:rsidP="00A14050">
      <w:pPr>
        <w:widowControl/>
        <w:rPr>
          <w:rFonts w:ascii="標楷體" w:eastAsia="標楷體" w:hAnsi="標楷體"/>
        </w:rPr>
      </w:pPr>
      <w:bookmarkStart w:id="0" w:name="_GoBack"/>
      <w:bookmarkEnd w:id="0"/>
    </w:p>
    <w:sectPr w:rsidR="007816C6" w:rsidRPr="00A03211" w:rsidSect="0046496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9D7" w:rsidRDefault="002329D7" w:rsidP="00193568">
      <w:r>
        <w:separator/>
      </w:r>
    </w:p>
  </w:endnote>
  <w:endnote w:type="continuationSeparator" w:id="0">
    <w:p w:rsidR="002329D7" w:rsidRDefault="002329D7" w:rsidP="0019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9D7" w:rsidRDefault="002329D7" w:rsidP="00193568">
      <w:r>
        <w:separator/>
      </w:r>
    </w:p>
  </w:footnote>
  <w:footnote w:type="continuationSeparator" w:id="0">
    <w:p w:rsidR="002329D7" w:rsidRDefault="002329D7" w:rsidP="00193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2FA3"/>
    <w:multiLevelType w:val="hybridMultilevel"/>
    <w:tmpl w:val="9E12C9A8"/>
    <w:lvl w:ilvl="0" w:tplc="F602448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E7C13EB"/>
    <w:multiLevelType w:val="hybridMultilevel"/>
    <w:tmpl w:val="AD82C1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78482D"/>
    <w:multiLevelType w:val="hybridMultilevel"/>
    <w:tmpl w:val="BD82CA62"/>
    <w:lvl w:ilvl="0" w:tplc="54E6538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2323623"/>
    <w:multiLevelType w:val="hybridMultilevel"/>
    <w:tmpl w:val="F74E0C0E"/>
    <w:lvl w:ilvl="0" w:tplc="5B568FC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7AF4AA8"/>
    <w:multiLevelType w:val="hybridMultilevel"/>
    <w:tmpl w:val="629C7360"/>
    <w:lvl w:ilvl="0" w:tplc="B984AED4">
      <w:start w:val="1"/>
      <w:numFmt w:val="decimal"/>
      <w:lvlText w:val="%1."/>
      <w:lvlJc w:val="left"/>
      <w:pPr>
        <w:ind w:left="84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F1E79A1"/>
    <w:multiLevelType w:val="hybridMultilevel"/>
    <w:tmpl w:val="D304C19E"/>
    <w:lvl w:ilvl="0" w:tplc="A8AEBCB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B6503A3"/>
    <w:multiLevelType w:val="hybridMultilevel"/>
    <w:tmpl w:val="5E32316A"/>
    <w:lvl w:ilvl="0" w:tplc="637263E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66353DD8"/>
    <w:multiLevelType w:val="hybridMultilevel"/>
    <w:tmpl w:val="DCC86354"/>
    <w:lvl w:ilvl="0" w:tplc="1F84711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6D52240D"/>
    <w:multiLevelType w:val="hybridMultilevel"/>
    <w:tmpl w:val="F74E0C0E"/>
    <w:lvl w:ilvl="0" w:tplc="5B568FC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40F25F7"/>
    <w:multiLevelType w:val="hybridMultilevel"/>
    <w:tmpl w:val="834A51E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BC21C20"/>
    <w:multiLevelType w:val="hybridMultilevel"/>
    <w:tmpl w:val="308A6332"/>
    <w:lvl w:ilvl="0" w:tplc="671C108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10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6F"/>
    <w:rsid w:val="000938A4"/>
    <w:rsid w:val="000D2BA3"/>
    <w:rsid w:val="000F3A54"/>
    <w:rsid w:val="00193568"/>
    <w:rsid w:val="001E52D0"/>
    <w:rsid w:val="002329D7"/>
    <w:rsid w:val="0046496F"/>
    <w:rsid w:val="004D2026"/>
    <w:rsid w:val="00583A1B"/>
    <w:rsid w:val="0065732E"/>
    <w:rsid w:val="007816C6"/>
    <w:rsid w:val="007C2D2F"/>
    <w:rsid w:val="008B07E1"/>
    <w:rsid w:val="00996B5C"/>
    <w:rsid w:val="00996E76"/>
    <w:rsid w:val="00A03211"/>
    <w:rsid w:val="00A14050"/>
    <w:rsid w:val="00A733F9"/>
    <w:rsid w:val="00C73CD4"/>
    <w:rsid w:val="00CC1C39"/>
    <w:rsid w:val="00D4395B"/>
    <w:rsid w:val="00D5261A"/>
    <w:rsid w:val="00D5436F"/>
    <w:rsid w:val="00E16E9A"/>
    <w:rsid w:val="00EE757F"/>
    <w:rsid w:val="00F8138D"/>
    <w:rsid w:val="00F9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B0462"/>
  <w15:chartTrackingRefBased/>
  <w15:docId w15:val="{148268E5-7137-4887-B1AC-11000470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D2F"/>
    <w:pPr>
      <w:ind w:leftChars="200" w:left="480"/>
    </w:pPr>
  </w:style>
  <w:style w:type="table" w:styleId="a4">
    <w:name w:val="Table Grid"/>
    <w:basedOn w:val="a1"/>
    <w:uiPriority w:val="39"/>
    <w:rsid w:val="000F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6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96B5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93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9356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93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35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78BD4-1D43-4C8B-ADAD-7EE2E930E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2019-01-07T02:21:00Z</cp:lastPrinted>
  <dcterms:created xsi:type="dcterms:W3CDTF">2022-01-20T14:54:00Z</dcterms:created>
  <dcterms:modified xsi:type="dcterms:W3CDTF">2022-01-20T14:54:00Z</dcterms:modified>
</cp:coreProperties>
</file>